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59" w:rsidRPr="00C21959" w:rsidRDefault="00C21959" w:rsidP="00C219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C21959" w:rsidRPr="00C21959" w:rsidTr="00C219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959" w:rsidRPr="00C21959" w:rsidRDefault="00C21959" w:rsidP="00C2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C21959" w:rsidRPr="00C21959" w:rsidRDefault="00C21959" w:rsidP="00C2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C21959" w:rsidRPr="00C21959" w:rsidTr="00C219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C21959" w:rsidRPr="00C21959" w:rsidRDefault="00C21959" w:rsidP="00C2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C21959" w:rsidRPr="00C21959" w:rsidRDefault="00C21959" w:rsidP="00C2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C21959" w:rsidRPr="00C21959" w:rsidRDefault="00C21959" w:rsidP="00C2195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fr-FR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5"/>
      </w:tblGrid>
      <w:tr w:rsidR="00C21959" w:rsidRPr="00C21959" w:rsidTr="00C21959">
        <w:trPr>
          <w:tblCellSpacing w:w="15" w:type="dxa"/>
        </w:trPr>
        <w:tc>
          <w:tcPr>
            <w:tcW w:w="0" w:type="auto"/>
            <w:vAlign w:val="center"/>
            <w:hideMark/>
          </w:tcPr>
          <w:p w:rsidR="004C1510" w:rsidRDefault="00C21959" w:rsidP="00C2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M. Jerry BEHAJA</w:t>
            </w:r>
            <w:r w:rsidR="004C1510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</w:p>
          <w:p w:rsidR="00C21959" w:rsidRPr="00C21959" w:rsidRDefault="004C1510" w:rsidP="00C2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4C151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fr-FR"/>
              </w:rPr>
              <w:t>(</w:t>
            </w:r>
            <w:r w:rsidRPr="004C151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fr-FR"/>
              </w:rPr>
              <w:t>jbehaja@parisnanterre.fr</w:t>
            </w:r>
            <w:r w:rsidRPr="004C151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fr-FR"/>
              </w:rPr>
              <w:t>)</w:t>
            </w:r>
            <w:bookmarkStart w:id="0" w:name="_GoBack"/>
            <w:bookmarkEnd w:id="0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Docteur en droit privé – Avocat à la Cour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Discipline : Droit privé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Thèmes de recherche : Droit privé – droit des affaires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PUBLICATIONS :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• Éclairages sur l’anti-suit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injunction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à la lumière du paradigme de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l’équité juridictionnelle internationale, Les Petites Affiches (LPA) –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LEXTENSO, 4 février 2020, n° 25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• La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corporate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governance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: de la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lex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mercatoria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à la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lex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mercatus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(versions en français et en anglais), Revue DICID, CREDIMI, Université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de Bourgogne, février 2019 (version française) et mai 2019 (version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anglaise)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• La portée juridique et l’efficacité de la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corporate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governance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et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des codes de gouvernement d’entreprise, Revue des sociétés – DALLOZ,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mars 2019, p. 155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• Le statut du salarié au sein des sociétés cotées : chronique d’une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mutation juridique, Les Petites Affiches (LPA) – LEXTENSO, 3 octobre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2018, n° 198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 xml:space="preserve">• Analyse des réformes sur le vote «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say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on </w:t>
            </w:r>
            <w:proofErr w:type="spellStart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pay</w:t>
            </w:r>
            <w:proofErr w:type="spellEnd"/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 xml:space="preserve"> » : de l’abandon de la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tentation libertaire du droit souple à l’engouement liberticide des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législateurs français et européen, Revue Lamy Droit des Affaires</w:t>
            </w:r>
            <w:r w:rsidR="00C21959" w:rsidRPr="00C21959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br/>
              <w:t>(RLDA) n° 126 – WOLTERS KLUWER, mai 2017, p. 36</w:t>
            </w:r>
          </w:p>
          <w:p w:rsidR="00C21959" w:rsidRPr="00C21959" w:rsidRDefault="00C21959" w:rsidP="00C21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D92603" w:rsidRDefault="00D92603"/>
    <w:sectPr w:rsidR="00D926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B84"/>
    <w:rsid w:val="004C1510"/>
    <w:rsid w:val="00A74B84"/>
    <w:rsid w:val="00C21959"/>
    <w:rsid w:val="00D92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726E8"/>
  <w15:chartTrackingRefBased/>
  <w15:docId w15:val="{364A2BF5-F314-47BE-8432-69735EC7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48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6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2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23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27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7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32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Trabon Sophie</dc:creator>
  <cp:keywords/>
  <dc:description/>
  <cp:lastModifiedBy>Trabon Sophie</cp:lastModifiedBy>
  <cp:revision>2</cp:revision>
  <dcterms:created xsi:type="dcterms:W3CDTF">2023-07-11T09:56:00Z</dcterms:created>
  <dcterms:modified xsi:type="dcterms:W3CDTF">2023-07-11T09:56:00Z</dcterms:modified>
</cp:coreProperties>
</file>