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EC851" w14:textId="77777777" w:rsidR="009F525E" w:rsidRPr="00027903" w:rsidRDefault="009F525E" w:rsidP="00F63ED1">
      <w:pPr>
        <w:pStyle w:val="CEDCACETITREARTICLE"/>
      </w:pPr>
      <w:r w:rsidRPr="00027903">
        <w:t>Effet perturbateur du droit de la consommation et droit des sûretés</w:t>
      </w:r>
    </w:p>
    <w:p w14:paraId="5ED781D2" w14:textId="77777777" w:rsidR="009F525E" w:rsidRPr="00027903" w:rsidRDefault="009F525E" w:rsidP="00F63ED1">
      <w:pPr>
        <w:pStyle w:val="CEDCACETITREARTICLE"/>
      </w:pPr>
    </w:p>
    <w:p w14:paraId="63CADCFB" w14:textId="38A4E272" w:rsidR="009F525E" w:rsidRDefault="009F525E" w:rsidP="00F63ED1">
      <w:pPr>
        <w:pStyle w:val="CEDCACETITREARTICLE"/>
      </w:pPr>
      <w:r>
        <w:t>Introduction</w:t>
      </w:r>
    </w:p>
    <w:p w14:paraId="681BB535" w14:textId="77777777" w:rsidR="00F63ED1" w:rsidRPr="00F63ED1" w:rsidRDefault="00F63ED1" w:rsidP="00F63ED1">
      <w:pPr>
        <w:pStyle w:val="CEDCACE-corpsdetexte"/>
      </w:pPr>
    </w:p>
    <w:p w14:paraId="788C6604" w14:textId="77777777" w:rsidR="009F525E" w:rsidRPr="009F525E" w:rsidRDefault="009F525E" w:rsidP="00F63ED1">
      <w:pPr>
        <w:pStyle w:val="CEDCACEAUTEURetQUALITE"/>
        <w:rPr>
          <w:i/>
          <w:iCs/>
        </w:rPr>
      </w:pPr>
      <w:r w:rsidRPr="009F525E">
        <w:t>Natacha Sauphanor-Brouillaud</w:t>
      </w:r>
    </w:p>
    <w:p w14:paraId="3D32A9AE" w14:textId="77777777" w:rsidR="009F525E" w:rsidRPr="009F525E" w:rsidRDefault="009F525E" w:rsidP="00F63ED1">
      <w:pPr>
        <w:pStyle w:val="CEDCACEAUTEURetQUALITE"/>
        <w:rPr>
          <w:i/>
          <w:iCs/>
        </w:rPr>
      </w:pPr>
    </w:p>
    <w:p w14:paraId="5BA4465C" w14:textId="77777777" w:rsidR="009F525E" w:rsidRPr="00C733CA" w:rsidRDefault="009F525E" w:rsidP="00F63ED1">
      <w:pPr>
        <w:pStyle w:val="CEDCACEAUTEURetQUALITE"/>
        <w:rPr>
          <w:i/>
          <w:iCs/>
        </w:rPr>
      </w:pPr>
      <w:r w:rsidRPr="00C733CA">
        <w:rPr>
          <w:i/>
          <w:iCs/>
        </w:rPr>
        <w:t>Professeur à l’Université Paris Nanterre</w:t>
      </w:r>
    </w:p>
    <w:p w14:paraId="482C2292" w14:textId="77777777" w:rsidR="009F525E" w:rsidRPr="00C733CA" w:rsidRDefault="009F525E" w:rsidP="00F63ED1">
      <w:pPr>
        <w:pStyle w:val="CEDCACEAUTEURetQUALITE"/>
        <w:rPr>
          <w:i/>
          <w:iCs/>
        </w:rPr>
      </w:pPr>
      <w:proofErr w:type="gramStart"/>
      <w:r w:rsidRPr="00C733CA">
        <w:rPr>
          <w:i/>
          <w:iCs/>
        </w:rPr>
        <w:t>membre</w:t>
      </w:r>
      <w:proofErr w:type="gramEnd"/>
      <w:r w:rsidRPr="00C733CA">
        <w:rPr>
          <w:i/>
          <w:iCs/>
        </w:rPr>
        <w:t xml:space="preserve"> du CEDCACE</w:t>
      </w:r>
    </w:p>
    <w:p w14:paraId="60370B23" w14:textId="77777777" w:rsidR="009F525E" w:rsidRPr="00C733CA" w:rsidRDefault="009F525E" w:rsidP="00F63ED1">
      <w:pPr>
        <w:pStyle w:val="CEDCACEAUTEURetQUALITE"/>
        <w:rPr>
          <w:i/>
          <w:iCs/>
        </w:rPr>
      </w:pPr>
      <w:proofErr w:type="gramStart"/>
      <w:r w:rsidRPr="00C733CA">
        <w:rPr>
          <w:i/>
          <w:iCs/>
        </w:rPr>
        <w:t>co</w:t>
      </w:r>
      <w:proofErr w:type="gramEnd"/>
      <w:r w:rsidRPr="00C733CA">
        <w:rPr>
          <w:i/>
          <w:iCs/>
        </w:rPr>
        <w:t xml:space="preserve">-directrice du Master droit privé fondamental </w:t>
      </w:r>
    </w:p>
    <w:p w14:paraId="3AB31E39" w14:textId="77777777" w:rsidR="009F525E" w:rsidRPr="00C733CA" w:rsidRDefault="009F525E" w:rsidP="00F63ED1">
      <w:pPr>
        <w:pStyle w:val="CEDCACEAUTEURetQUALITE"/>
        <w:rPr>
          <w:i/>
          <w:iCs/>
        </w:rPr>
      </w:pPr>
      <w:proofErr w:type="gramStart"/>
      <w:r w:rsidRPr="00C733CA">
        <w:rPr>
          <w:i/>
          <w:iCs/>
        </w:rPr>
        <w:t>co</w:t>
      </w:r>
      <w:proofErr w:type="gramEnd"/>
      <w:r w:rsidRPr="00C733CA">
        <w:rPr>
          <w:i/>
          <w:iCs/>
        </w:rPr>
        <w:t>-directrice de la Chaire Droit de la consommation (CY Cergy Paris Université)</w:t>
      </w:r>
    </w:p>
    <w:p w14:paraId="1DA5836C" w14:textId="77777777" w:rsidR="009F525E" w:rsidRDefault="009F525E" w:rsidP="009F525E">
      <w:pPr>
        <w:pStyle w:val="Paragraphedeliste"/>
        <w:ind w:left="567"/>
        <w:jc w:val="both"/>
        <w:rPr>
          <w:rFonts w:ascii="Times New Roman" w:hAnsi="Times New Roman" w:cs="Times New Roman"/>
          <w:sz w:val="24"/>
          <w:szCs w:val="24"/>
        </w:rPr>
      </w:pPr>
    </w:p>
    <w:p w14:paraId="11E06780" w14:textId="77777777" w:rsidR="00F63ED1" w:rsidRDefault="00F63ED1" w:rsidP="009F525E">
      <w:pPr>
        <w:pStyle w:val="Paragraphedeliste"/>
        <w:ind w:left="567"/>
        <w:jc w:val="both"/>
        <w:rPr>
          <w:rFonts w:ascii="Times New Roman" w:hAnsi="Times New Roman" w:cs="Times New Roman"/>
          <w:sz w:val="24"/>
          <w:szCs w:val="24"/>
        </w:rPr>
      </w:pPr>
    </w:p>
    <w:p w14:paraId="71AF8B77" w14:textId="77777777" w:rsidR="009F525E" w:rsidRDefault="009F525E" w:rsidP="009F525E">
      <w:pPr>
        <w:autoSpaceDE w:val="0"/>
        <w:autoSpaceDN w:val="0"/>
        <w:adjustRightInd w:val="0"/>
        <w:spacing w:after="0" w:line="240" w:lineRule="auto"/>
        <w:jc w:val="both"/>
        <w:rPr>
          <w:rFonts w:ascii="Times New Roman" w:hAnsi="Times New Roman" w:cs="Times New Roman"/>
          <w:color w:val="000000"/>
          <w:kern w:val="0"/>
          <w:sz w:val="18"/>
          <w:szCs w:val="18"/>
        </w:rPr>
      </w:pPr>
      <w:r>
        <w:rPr>
          <w:rFonts w:ascii="Times New Roman" w:hAnsi="Times New Roman" w:cs="Times New Roman"/>
          <w:noProof/>
          <w:color w:val="000000"/>
          <w:kern w:val="0"/>
        </w:rPr>
        <mc:AlternateContent>
          <mc:Choice Requires="wps">
            <w:drawing>
              <wp:anchor distT="0" distB="0" distL="114300" distR="114300" simplePos="0" relativeHeight="251659264" behindDoc="0" locked="0" layoutInCell="1" allowOverlap="1" wp14:anchorId="3D7F927F" wp14:editId="6223F56A">
                <wp:simplePos x="0" y="0"/>
                <wp:positionH relativeFrom="column">
                  <wp:posOffset>2148205</wp:posOffset>
                </wp:positionH>
                <wp:positionV relativeFrom="paragraph">
                  <wp:posOffset>17631</wp:posOffset>
                </wp:positionV>
                <wp:extent cx="3693123" cy="1219200"/>
                <wp:effectExtent l="0" t="0" r="15875" b="12700"/>
                <wp:wrapNone/>
                <wp:docPr id="509631292" name="Zone de texte 2"/>
                <wp:cNvGraphicFramePr/>
                <a:graphic xmlns:a="http://schemas.openxmlformats.org/drawingml/2006/main">
                  <a:graphicData uri="http://schemas.microsoft.com/office/word/2010/wordprocessingShape">
                    <wps:wsp>
                      <wps:cNvSpPr txBox="1"/>
                      <wps:spPr>
                        <a:xfrm>
                          <a:off x="0" y="0"/>
                          <a:ext cx="3693123" cy="1219200"/>
                        </a:xfrm>
                        <a:prstGeom prst="rect">
                          <a:avLst/>
                        </a:prstGeom>
                        <a:solidFill>
                          <a:schemeClr val="lt1"/>
                        </a:solidFill>
                        <a:ln w="6350">
                          <a:solidFill>
                            <a:prstClr val="black"/>
                          </a:solidFill>
                        </a:ln>
                      </wps:spPr>
                      <wps:txbx>
                        <w:txbxContent>
                          <w:p w14:paraId="23662E7F" w14:textId="77777777" w:rsidR="009F525E" w:rsidRPr="00C733CA" w:rsidRDefault="009F525E" w:rsidP="009F525E">
                            <w:pPr>
                              <w:autoSpaceDE w:val="0"/>
                              <w:autoSpaceDN w:val="0"/>
                              <w:adjustRightInd w:val="0"/>
                              <w:spacing w:after="0" w:line="240" w:lineRule="auto"/>
                              <w:jc w:val="both"/>
                              <w:rPr>
                                <w:rFonts w:ascii="Times New Roman" w:hAnsi="Times New Roman" w:cs="Times New Roman"/>
                                <w:color w:val="000000"/>
                                <w:kern w:val="0"/>
                                <w:sz w:val="18"/>
                                <w:szCs w:val="18"/>
                              </w:rPr>
                            </w:pPr>
                            <w:r w:rsidRPr="00C733CA">
                              <w:rPr>
                                <w:rFonts w:ascii="Times New Roman" w:hAnsi="Times New Roman" w:cs="Times New Roman"/>
                                <w:color w:val="000000"/>
                                <w:kern w:val="0"/>
                                <w:sz w:val="18"/>
                                <w:szCs w:val="18"/>
                              </w:rPr>
                              <w:t>Cette contribution est issue de l’atelier consacré à « </w:t>
                            </w:r>
                            <w:r w:rsidRPr="00C733CA">
                              <w:rPr>
                                <w:rFonts w:ascii="Times New Roman" w:hAnsi="Times New Roman" w:cs="Times New Roman"/>
                                <w:b/>
                                <w:bCs/>
                                <w:sz w:val="18"/>
                                <w:szCs w:val="18"/>
                              </w:rPr>
                              <w:t>Effet perturbateur du droit de la consommation et droit des sûretés »</w:t>
                            </w:r>
                            <w:r w:rsidRPr="00C733CA">
                              <w:rPr>
                                <w:rFonts w:ascii="Times New Roman" w:hAnsi="Times New Roman" w:cs="Times New Roman"/>
                                <w:color w:val="000000"/>
                                <w:kern w:val="0"/>
                                <w:sz w:val="18"/>
                                <w:szCs w:val="18"/>
                              </w:rPr>
                              <w:t xml:space="preserve"> organisé par le CEDCACE à l’Université Paris Nanterre le 24 janvier 2024 et s’inscrivant dans le cycle d’atelier</w:t>
                            </w:r>
                            <w:r>
                              <w:rPr>
                                <w:rFonts w:ascii="Times New Roman" w:hAnsi="Times New Roman" w:cs="Times New Roman"/>
                                <w:color w:val="000000"/>
                                <w:kern w:val="0"/>
                                <w:sz w:val="18"/>
                                <w:szCs w:val="18"/>
                              </w:rPr>
                              <w:t>s</w:t>
                            </w:r>
                            <w:r w:rsidRPr="00C733CA">
                              <w:rPr>
                                <w:rFonts w:ascii="Times New Roman" w:hAnsi="Times New Roman" w:cs="Times New Roman"/>
                                <w:color w:val="000000"/>
                                <w:kern w:val="0"/>
                                <w:sz w:val="18"/>
                                <w:szCs w:val="18"/>
                              </w:rPr>
                              <w:t xml:space="preserve"> consacré à « </w:t>
                            </w:r>
                            <w:r w:rsidRPr="00C92EC6">
                              <w:rPr>
                                <w:rFonts w:ascii="Times New Roman" w:hAnsi="Times New Roman" w:cs="Times New Roman"/>
                                <w:b/>
                                <w:bCs/>
                                <w:color w:val="000000"/>
                                <w:kern w:val="0"/>
                                <w:sz w:val="18"/>
                                <w:szCs w:val="18"/>
                              </w:rPr>
                              <w:t>L’effet perturbateur du droit de la consommation, toujours d’actualité </w:t>
                            </w:r>
                            <w:r w:rsidRPr="00C733CA">
                              <w:rPr>
                                <w:rFonts w:ascii="Times New Roman" w:hAnsi="Times New Roman" w:cs="Times New Roman"/>
                                <w:color w:val="000000"/>
                                <w:kern w:val="0"/>
                                <w:sz w:val="18"/>
                                <w:szCs w:val="18"/>
                              </w:rPr>
                              <w:t xml:space="preserve">? » sous la direction scientifique de Natacha Sauphanor-Brouillaud. </w:t>
                            </w:r>
                          </w:p>
                          <w:p w14:paraId="22128B8A" w14:textId="4CAA40A7" w:rsidR="009F525E" w:rsidRDefault="009F525E" w:rsidP="009F525E">
                            <w:r w:rsidRPr="00C733CA">
                              <w:rPr>
                                <w:rFonts w:ascii="Times New Roman" w:hAnsi="Times New Roman" w:cs="Times New Roman"/>
                                <w:color w:val="000000"/>
                                <w:kern w:val="0"/>
                                <w:sz w:val="18"/>
                                <w:szCs w:val="18"/>
                              </w:rPr>
                              <w:t>Les actes du cycle d’atelier</w:t>
                            </w:r>
                            <w:r w:rsidR="007B009C">
                              <w:rPr>
                                <w:rFonts w:ascii="Times New Roman" w:hAnsi="Times New Roman" w:cs="Times New Roman"/>
                                <w:color w:val="000000"/>
                                <w:kern w:val="0"/>
                                <w:sz w:val="18"/>
                                <w:szCs w:val="18"/>
                              </w:rPr>
                              <w:t>s</w:t>
                            </w:r>
                            <w:r w:rsidRPr="00C733CA">
                              <w:rPr>
                                <w:rFonts w:ascii="Times New Roman" w:hAnsi="Times New Roman" w:cs="Times New Roman"/>
                                <w:color w:val="000000"/>
                                <w:kern w:val="0"/>
                                <w:sz w:val="18"/>
                                <w:szCs w:val="18"/>
                              </w:rPr>
                              <w:t xml:space="preserve"> sont librement consultables sur le site Internet du CEDCACE : </w:t>
                            </w:r>
                            <w:r w:rsidRPr="00C733CA">
                              <w:rPr>
                                <w:rFonts w:ascii="Times New Roman" w:hAnsi="Times New Roman" w:cs="Times New Roman"/>
                                <w:color w:val="0563C2"/>
                                <w:kern w:val="0"/>
                                <w:sz w:val="18"/>
                                <w:szCs w:val="18"/>
                              </w:rPr>
                              <w:t>http://cedcace.parisnanterre.fr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F927F" id="_x0000_t202" coordsize="21600,21600" o:spt="202" path="m,l,21600r21600,l21600,xe">
                <v:stroke joinstyle="miter"/>
                <v:path gradientshapeok="t" o:connecttype="rect"/>
              </v:shapetype>
              <v:shape id="Zone de texte 2" o:spid="_x0000_s1026" type="#_x0000_t202" style="position:absolute;left:0;text-align:left;margin-left:169.15pt;margin-top:1.4pt;width:290.8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" fillcolor="white [3201]" strokeweight=".5pt">
                <v:textbox>
                  <w:txbxContent>
                    <w:p w14:paraId="23662E7F" w14:textId="77777777" w:rsidR="009F525E" w:rsidRPr="00C733CA" w:rsidRDefault="009F525E" w:rsidP="009F525E">
                      <w:pPr>
                        <w:autoSpaceDE w:val="0"/>
                        <w:autoSpaceDN w:val="0"/>
                        <w:adjustRightInd w:val="0"/>
                        <w:spacing w:after="0" w:line="240" w:lineRule="auto"/>
                        <w:jc w:val="both"/>
                        <w:rPr>
                          <w:rFonts w:ascii="Times New Roman" w:hAnsi="Times New Roman" w:cs="Times New Roman"/>
                          <w:color w:val="000000"/>
                          <w:kern w:val="0"/>
                          <w:sz w:val="18"/>
                          <w:szCs w:val="18"/>
                        </w:rPr>
                      </w:pPr>
                      <w:r w:rsidRPr="00C733CA">
                        <w:rPr>
                          <w:rFonts w:ascii="Times New Roman" w:hAnsi="Times New Roman" w:cs="Times New Roman"/>
                          <w:color w:val="000000"/>
                          <w:kern w:val="0"/>
                          <w:sz w:val="18"/>
                          <w:szCs w:val="18"/>
                        </w:rPr>
                        <w:t>Cette contribution est issue de l’atelier consacré à « </w:t>
                      </w:r>
                      <w:r w:rsidRPr="00C733CA">
                        <w:rPr>
                          <w:rFonts w:ascii="Times New Roman" w:hAnsi="Times New Roman" w:cs="Times New Roman"/>
                          <w:b/>
                          <w:bCs/>
                          <w:sz w:val="18"/>
                          <w:szCs w:val="18"/>
                        </w:rPr>
                        <w:t>Effet perturbateur du droit de la consommation et droit des sûretés »</w:t>
                      </w:r>
                      <w:r w:rsidRPr="00C733CA">
                        <w:rPr>
                          <w:rFonts w:ascii="Times New Roman" w:hAnsi="Times New Roman" w:cs="Times New Roman"/>
                          <w:color w:val="000000"/>
                          <w:kern w:val="0"/>
                          <w:sz w:val="18"/>
                          <w:szCs w:val="18"/>
                        </w:rPr>
                        <w:t xml:space="preserve"> organisé par le CEDCACE à l’Université Paris Nanterre le 24 janvier 2024 et s’inscrivant dans le cycle d’atelier</w:t>
                      </w:r>
                      <w:r>
                        <w:rPr>
                          <w:rFonts w:ascii="Times New Roman" w:hAnsi="Times New Roman" w:cs="Times New Roman"/>
                          <w:color w:val="000000"/>
                          <w:kern w:val="0"/>
                          <w:sz w:val="18"/>
                          <w:szCs w:val="18"/>
                        </w:rPr>
                        <w:t>s</w:t>
                      </w:r>
                      <w:r w:rsidRPr="00C733CA">
                        <w:rPr>
                          <w:rFonts w:ascii="Times New Roman" w:hAnsi="Times New Roman" w:cs="Times New Roman"/>
                          <w:color w:val="000000"/>
                          <w:kern w:val="0"/>
                          <w:sz w:val="18"/>
                          <w:szCs w:val="18"/>
                        </w:rPr>
                        <w:t xml:space="preserve"> consacré à « </w:t>
                      </w:r>
                      <w:r w:rsidRPr="00C92EC6">
                        <w:rPr>
                          <w:rFonts w:ascii="Times New Roman" w:hAnsi="Times New Roman" w:cs="Times New Roman"/>
                          <w:b/>
                          <w:bCs/>
                          <w:color w:val="000000"/>
                          <w:kern w:val="0"/>
                          <w:sz w:val="18"/>
                          <w:szCs w:val="18"/>
                        </w:rPr>
                        <w:t>L’effet perturbateur du droit de la consommation, toujours d’actualité </w:t>
                      </w:r>
                      <w:r w:rsidRPr="00C733CA">
                        <w:rPr>
                          <w:rFonts w:ascii="Times New Roman" w:hAnsi="Times New Roman" w:cs="Times New Roman"/>
                          <w:color w:val="000000"/>
                          <w:kern w:val="0"/>
                          <w:sz w:val="18"/>
                          <w:szCs w:val="18"/>
                        </w:rPr>
                        <w:t xml:space="preserve">? » sous la direction scientifique de Natacha Sauphanor-Brouillaud. </w:t>
                      </w:r>
                    </w:p>
                    <w:p w14:paraId="22128B8A" w14:textId="4CAA40A7" w:rsidR="009F525E" w:rsidRDefault="009F525E" w:rsidP="009F525E">
                      <w:r w:rsidRPr="00C733CA">
                        <w:rPr>
                          <w:rFonts w:ascii="Times New Roman" w:hAnsi="Times New Roman" w:cs="Times New Roman"/>
                          <w:color w:val="000000"/>
                          <w:kern w:val="0"/>
                          <w:sz w:val="18"/>
                          <w:szCs w:val="18"/>
                        </w:rPr>
                        <w:t>Les actes du cycle d’atelier</w:t>
                      </w:r>
                      <w:r w:rsidR="007B009C">
                        <w:rPr>
                          <w:rFonts w:ascii="Times New Roman" w:hAnsi="Times New Roman" w:cs="Times New Roman"/>
                          <w:color w:val="000000"/>
                          <w:kern w:val="0"/>
                          <w:sz w:val="18"/>
                          <w:szCs w:val="18"/>
                        </w:rPr>
                        <w:t>s</w:t>
                      </w:r>
                      <w:r w:rsidRPr="00C733CA">
                        <w:rPr>
                          <w:rFonts w:ascii="Times New Roman" w:hAnsi="Times New Roman" w:cs="Times New Roman"/>
                          <w:color w:val="000000"/>
                          <w:kern w:val="0"/>
                          <w:sz w:val="18"/>
                          <w:szCs w:val="18"/>
                        </w:rPr>
                        <w:t xml:space="preserve"> sont librement consultables sur le site Internet du CEDCACE : </w:t>
                      </w:r>
                      <w:r w:rsidRPr="00C733CA">
                        <w:rPr>
                          <w:rFonts w:ascii="Times New Roman" w:hAnsi="Times New Roman" w:cs="Times New Roman"/>
                          <w:color w:val="0563C2"/>
                          <w:kern w:val="0"/>
                          <w:sz w:val="18"/>
                          <w:szCs w:val="18"/>
                        </w:rPr>
                        <w:t>http://cedcace.parisnanterre.fr</w:t>
                      </w:r>
                    </w:p>
                  </w:txbxContent>
                </v:textbox>
              </v:shape>
            </w:pict>
          </mc:Fallback>
        </mc:AlternateContent>
      </w:r>
      <w:r w:rsidRPr="00C733CA">
        <w:rPr>
          <w:rFonts w:ascii="Times New Roman" w:hAnsi="Times New Roman" w:cs="Times New Roman"/>
          <w:noProof/>
          <w:color w:val="000000"/>
          <w:kern w:val="0"/>
        </w:rPr>
        <w:drawing>
          <wp:inline distT="0" distB="0" distL="0" distR="0" wp14:anchorId="188AD733" wp14:editId="216E8463">
            <wp:extent cx="2114873" cy="914400"/>
            <wp:effectExtent l="0" t="0" r="0" b="0"/>
            <wp:docPr id="2577071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07133" name=""/>
                    <pic:cNvPicPr/>
                  </pic:nvPicPr>
                  <pic:blipFill>
                    <a:blip r:embed="rId7"/>
                    <a:stretch>
                      <a:fillRect/>
                    </a:stretch>
                  </pic:blipFill>
                  <pic:spPr>
                    <a:xfrm>
                      <a:off x="0" y="0"/>
                      <a:ext cx="2201044" cy="951658"/>
                    </a:xfrm>
                    <a:prstGeom prst="rect">
                      <a:avLst/>
                    </a:prstGeom>
                  </pic:spPr>
                </pic:pic>
              </a:graphicData>
            </a:graphic>
          </wp:inline>
        </w:drawing>
      </w:r>
    </w:p>
    <w:p w14:paraId="76864E23" w14:textId="77777777" w:rsidR="009F525E" w:rsidRPr="00027903" w:rsidRDefault="009F525E" w:rsidP="009F525E">
      <w:pPr>
        <w:pStyle w:val="Paragraphedeliste"/>
        <w:ind w:left="567"/>
        <w:jc w:val="both"/>
        <w:rPr>
          <w:rFonts w:ascii="Times New Roman" w:hAnsi="Times New Roman" w:cs="Times New Roman"/>
          <w:sz w:val="24"/>
          <w:szCs w:val="24"/>
        </w:rPr>
      </w:pPr>
    </w:p>
    <w:p w14:paraId="197082F0" w14:textId="77777777" w:rsidR="009F525E" w:rsidRDefault="009F525E" w:rsidP="009F525E">
      <w:pPr>
        <w:pStyle w:val="Paragraphedeliste"/>
        <w:ind w:left="567"/>
        <w:jc w:val="both"/>
        <w:rPr>
          <w:rFonts w:ascii="Times New Roman" w:hAnsi="Times New Roman" w:cs="Times New Roman"/>
          <w:b/>
          <w:bCs/>
          <w:sz w:val="24"/>
          <w:szCs w:val="24"/>
          <w:u w:val="single"/>
        </w:rPr>
      </w:pPr>
    </w:p>
    <w:p w14:paraId="0C5BEC29" w14:textId="77777777" w:rsidR="009F525E" w:rsidRDefault="009F525E" w:rsidP="009F525E">
      <w:pPr>
        <w:pStyle w:val="Paragraphedeliste"/>
        <w:ind w:left="567"/>
        <w:jc w:val="both"/>
        <w:rPr>
          <w:rFonts w:ascii="Times New Roman" w:hAnsi="Times New Roman" w:cs="Times New Roman"/>
          <w:b/>
          <w:bCs/>
          <w:sz w:val="24"/>
          <w:szCs w:val="24"/>
          <w:u w:val="single"/>
        </w:rPr>
      </w:pPr>
    </w:p>
    <w:p w14:paraId="5A4E0B01" w14:textId="77777777" w:rsidR="009F525E" w:rsidRDefault="009F525E" w:rsidP="009F52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1B2E412" w14:textId="77777777" w:rsidR="009F525E" w:rsidRPr="009F525E" w:rsidRDefault="009F525E" w:rsidP="006E2243">
      <w:pPr>
        <w:jc w:val="both"/>
        <w:rPr>
          <w:rFonts w:ascii="Times New Roman" w:hAnsi="Times New Roman" w:cs="Times New Roman"/>
          <w:sz w:val="24"/>
          <w:szCs w:val="24"/>
        </w:rPr>
      </w:pPr>
    </w:p>
    <w:p w14:paraId="092C127E" w14:textId="2F1CEFA8" w:rsidR="006E2243" w:rsidRPr="0084051F" w:rsidRDefault="00FE066F" w:rsidP="00F63ED1">
      <w:pPr>
        <w:pStyle w:val="CEDCACE-corpsdetexte"/>
      </w:pPr>
      <w:r w:rsidRPr="009F525E">
        <w:t>« L’influence du droit de la consommation sur les sûretés n’est plus à démontrer » (</w:t>
      </w:r>
      <w:r w:rsidR="00CD62EB" w:rsidRPr="009F525E">
        <w:rPr>
          <w:rStyle w:val="Appelnotedebasdep"/>
          <w:rFonts w:ascii="Times New Roman" w:hAnsi="Times New Roman"/>
        </w:rPr>
        <w:footnoteReference w:id="1"/>
      </w:r>
      <w:r w:rsidRPr="009F525E">
        <w:t xml:space="preserve">). </w:t>
      </w:r>
      <w:r w:rsidR="00D175CA" w:rsidRPr="009F525E">
        <w:t xml:space="preserve">Ce propos écrit par Antoine </w:t>
      </w:r>
      <w:proofErr w:type="spellStart"/>
      <w:r w:rsidR="00D175CA" w:rsidRPr="009F525E">
        <w:t>Gouzel</w:t>
      </w:r>
      <w:proofErr w:type="spellEnd"/>
      <w:r w:rsidR="00D175CA" w:rsidRPr="009F525E">
        <w:t xml:space="preserve"> reflète un phénomène dont la doctrine se fait l’écho depuis </w:t>
      </w:r>
      <w:r w:rsidRPr="009F525E">
        <w:t>plus de 30 ans</w:t>
      </w:r>
      <w:r w:rsidR="008A39E1" w:rsidRPr="009F525E">
        <w:t xml:space="preserve"> (</w:t>
      </w:r>
      <w:r w:rsidRPr="009F525E">
        <w:rPr>
          <w:rStyle w:val="Appelnotedebasdep"/>
          <w:rFonts w:ascii="Times New Roman" w:hAnsi="Times New Roman"/>
        </w:rPr>
        <w:footnoteReference w:id="2"/>
      </w:r>
      <w:r w:rsidR="008A39E1" w:rsidRPr="009F525E">
        <w:t>)</w:t>
      </w:r>
      <w:r w:rsidRPr="009F525E">
        <w:t>.</w:t>
      </w:r>
      <w:r w:rsidR="00D175CA" w:rsidRPr="009F525E">
        <w:t xml:space="preserve"> Cette influence mérite d’autant plus d’être analysée que l</w:t>
      </w:r>
      <w:r w:rsidRPr="009F525E">
        <w:t xml:space="preserve">es logiques qui innervent les deux matières sont antagonistes. </w:t>
      </w:r>
      <w:r w:rsidR="0084051F" w:rsidRPr="0084051F">
        <w:t xml:space="preserve">Schématiquement, à l’origine, car depuis sous l’influence du droit européen la perspective a évolué, le droit de la consommation était protecteur d’une partie faible, le débiteur consommateur, face à une partie forte, le professionnel. La sûreté est constituée au profit d’une partie forte, le créancier garanti, souvent un créancier professionnel et même institutionnel. La loyauté innerve le droit de la consommation, là où l’efficacité sous-tend le droit des sûretés. Le droit de la consommation entend lutter contre un déséquilibre, tandis que le droit des sûretés gouverne une absence structurelle d’équilibre, la garantie étant constituée exclusivement au profit du créancier, sans contrepartie. A cet égard, les catégories qui fondent les deux droits ne sont guère fongibles. Bien que le garant, personne physique, puisse se glisser dans le costume du consommateur, lorsqu’il s’engage à des fins qui n'entrent pas dans le cadre de son activité professionnelle , la constitution d’une sûreté, telle que le cautionnement, peine à entrer dans le moule du contrat de consommation, la caution ne recevant ni un bien, ni une prestation de service. </w:t>
      </w:r>
      <w:r w:rsidR="0084051F" w:rsidRPr="0084051F">
        <w:rPr>
          <w:i/>
          <w:iCs/>
        </w:rPr>
        <w:t>A priori</w:t>
      </w:r>
      <w:r w:rsidR="0084051F" w:rsidRPr="0084051F">
        <w:t>, les relations entre ces deux branches du droit semblent inéluctablement conflictuelles.</w:t>
      </w:r>
    </w:p>
    <w:p w14:paraId="76868D17" w14:textId="12E30733" w:rsidR="006E2243" w:rsidRPr="009F525E" w:rsidRDefault="00D175CA" w:rsidP="00F63ED1">
      <w:pPr>
        <w:pStyle w:val="CEDCACE-corpsdetexte"/>
      </w:pPr>
      <w:r w:rsidRPr="009F525E">
        <w:t>Cependant, il </w:t>
      </w:r>
      <w:r w:rsidR="00FE066F" w:rsidRPr="009F525E">
        <w:t xml:space="preserve">importe de nuancer et de livrer des réflexions </w:t>
      </w:r>
      <w:proofErr w:type="gramStart"/>
      <w:r w:rsidR="00FE066F" w:rsidRPr="009F525E">
        <w:t>non manichéennes</w:t>
      </w:r>
      <w:proofErr w:type="gramEnd"/>
      <w:r w:rsidR="00FE066F" w:rsidRPr="009F525E">
        <w:t xml:space="preserve">. On ne saurait nier les perturbations apportées par le droit de la consommation au droit des sûretés. </w:t>
      </w:r>
      <w:r w:rsidR="00484EDE" w:rsidRPr="009F525E">
        <w:t>El</w:t>
      </w:r>
      <w:r w:rsidR="00FE066F" w:rsidRPr="009F525E">
        <w:t xml:space="preserve">les sont </w:t>
      </w:r>
      <w:r w:rsidR="00484EDE" w:rsidRPr="009F525E">
        <w:lastRenderedPageBreak/>
        <w:t xml:space="preserve">cependant </w:t>
      </w:r>
      <w:r w:rsidR="00FE066F" w:rsidRPr="009F525E">
        <w:t xml:space="preserve">empreintes d’une originalité parfois méconnue qu’il est utile de montrer en premier lieu (I). Il importe ensuite de mettre en exergue la résistance du droit des sûretés, elle aussi multiforme, et ce même à l’époque où l’hégémonie du droit de la consommation a pu sembler la plus forte, c'est-à-dire avant la réforme des sûretés par l’ordonnance </w:t>
      </w:r>
      <w:r w:rsidR="007052FE" w:rsidRPr="009F525E">
        <w:t xml:space="preserve">n°2021-1191 </w:t>
      </w:r>
      <w:r w:rsidR="00FE066F" w:rsidRPr="009F525E">
        <w:t>du 15 septembre 2021 (II). Il convient, enfin, d’envisager les relations qu’entretiennent les deux droits depuis cette réforme (III).</w:t>
      </w:r>
    </w:p>
    <w:p w14:paraId="30A4EB53" w14:textId="77777777" w:rsidR="006E2243" w:rsidRPr="00482BB4" w:rsidRDefault="006E2243" w:rsidP="00F63ED1">
      <w:pPr>
        <w:pStyle w:val="CEDCACE-corpsdetexte"/>
        <w:rPr>
          <w:b/>
          <w:sz w:val="26"/>
          <w:szCs w:val="26"/>
        </w:rPr>
      </w:pPr>
    </w:p>
    <w:sectPr w:rsidR="006E2243" w:rsidRPr="00482B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33252" w14:textId="77777777" w:rsidR="00E5273A" w:rsidRDefault="00E5273A" w:rsidP="00825861">
      <w:pPr>
        <w:spacing w:after="0" w:line="240" w:lineRule="auto"/>
      </w:pPr>
      <w:r>
        <w:separator/>
      </w:r>
    </w:p>
  </w:endnote>
  <w:endnote w:type="continuationSeparator" w:id="0">
    <w:p w14:paraId="122DF086" w14:textId="77777777" w:rsidR="00E5273A" w:rsidRDefault="00E5273A" w:rsidP="0082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810358"/>
      <w:docPartObj>
        <w:docPartGallery w:val="Page Numbers (Bottom of Page)"/>
        <w:docPartUnique/>
      </w:docPartObj>
    </w:sdtPr>
    <w:sdtContent>
      <w:p w14:paraId="26033AA4" w14:textId="62A73201" w:rsidR="00277DF2" w:rsidRDefault="00277DF2">
        <w:pPr>
          <w:pStyle w:val="Pieddepage"/>
          <w:jc w:val="right"/>
        </w:pPr>
        <w:r>
          <w:fldChar w:fldCharType="begin"/>
        </w:r>
        <w:r>
          <w:instrText>PAGE   \* MERGEFORMAT</w:instrText>
        </w:r>
        <w:r>
          <w:fldChar w:fldCharType="separate"/>
        </w:r>
        <w:r>
          <w:t>2</w:t>
        </w:r>
        <w:r>
          <w:fldChar w:fldCharType="end"/>
        </w:r>
      </w:p>
    </w:sdtContent>
  </w:sdt>
  <w:p w14:paraId="2B040FC9" w14:textId="7718D25C" w:rsidR="00277DF2" w:rsidRPr="00470548" w:rsidRDefault="00277DF2">
    <w:pPr>
      <w:pStyle w:val="Pieddepage"/>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8444" w14:textId="77777777" w:rsidR="00E5273A" w:rsidRDefault="00E5273A" w:rsidP="00825861">
      <w:pPr>
        <w:spacing w:after="0" w:line="240" w:lineRule="auto"/>
      </w:pPr>
      <w:r>
        <w:separator/>
      </w:r>
    </w:p>
  </w:footnote>
  <w:footnote w:type="continuationSeparator" w:id="0">
    <w:p w14:paraId="2C28D128" w14:textId="77777777" w:rsidR="00E5273A" w:rsidRDefault="00E5273A" w:rsidP="00825861">
      <w:pPr>
        <w:spacing w:after="0" w:line="240" w:lineRule="auto"/>
      </w:pPr>
      <w:r>
        <w:continuationSeparator/>
      </w:r>
    </w:p>
  </w:footnote>
  <w:footnote w:id="1">
    <w:p w14:paraId="36409CE9" w14:textId="76E1F913" w:rsidR="00CD62EB" w:rsidRPr="008216A9" w:rsidRDefault="00CD62EB" w:rsidP="00F63ED1">
      <w:pPr>
        <w:pStyle w:val="CEDCACE-notesbasdepage"/>
      </w:pPr>
      <w:r w:rsidRPr="008216A9">
        <w:rPr>
          <w:rStyle w:val="Appelnotedebasdep"/>
          <w:rFonts w:ascii="Times New Roman" w:hAnsi="Times New Roman"/>
        </w:rPr>
        <w:footnoteRef/>
      </w:r>
      <w:r w:rsidRPr="008216A9">
        <w:t xml:space="preserve"> A. </w:t>
      </w:r>
      <w:proofErr w:type="spellStart"/>
      <w:r w:rsidRPr="008216A9">
        <w:t>Gouëzel</w:t>
      </w:r>
      <w:proofErr w:type="spellEnd"/>
      <w:r w:rsidRPr="008216A9">
        <w:t>, « Sûretés et clauses abusives », RDBF Mars 2017, étude 9, § 1.</w:t>
      </w:r>
    </w:p>
  </w:footnote>
  <w:footnote w:id="2">
    <w:p w14:paraId="42C8458F" w14:textId="77777777" w:rsidR="00FE066F" w:rsidRPr="008216A9" w:rsidRDefault="00FE066F" w:rsidP="00F63ED1">
      <w:pPr>
        <w:pStyle w:val="CEDCACE-notesbasdepage"/>
      </w:pPr>
      <w:r w:rsidRPr="008216A9">
        <w:rPr>
          <w:rStyle w:val="Appelnotedebasdep"/>
          <w:rFonts w:ascii="Times New Roman" w:hAnsi="Times New Roman"/>
        </w:rPr>
        <w:footnoteRef/>
      </w:r>
      <w:r w:rsidRPr="008216A9">
        <w:t xml:space="preserve"> Not. J.-P. </w:t>
      </w:r>
      <w:proofErr w:type="spellStart"/>
      <w:r w:rsidRPr="008216A9">
        <w:t>Marguénaud</w:t>
      </w:r>
      <w:proofErr w:type="spellEnd"/>
      <w:r w:rsidRPr="008216A9">
        <w:t xml:space="preserve">, « La protection de la caution par le droit de la consommation », </w:t>
      </w:r>
      <w:r w:rsidRPr="008216A9">
        <w:rPr>
          <w:i/>
          <w:iCs/>
        </w:rPr>
        <w:t>Ann. Faculté de Clermont-Ferrand</w:t>
      </w:r>
      <w:r w:rsidRPr="008216A9">
        <w:t xml:space="preserve">, vol. 29, 1993, p. 17 ; S. </w:t>
      </w:r>
      <w:proofErr w:type="spellStart"/>
      <w:r w:rsidRPr="008216A9">
        <w:t>Piédelièvre</w:t>
      </w:r>
      <w:proofErr w:type="spellEnd"/>
      <w:r w:rsidRPr="008216A9">
        <w:t xml:space="preserve">, « Droit des sûretés et droit de la consommation », </w:t>
      </w:r>
      <w:r w:rsidRPr="008216A9">
        <w:rPr>
          <w:i/>
          <w:iCs/>
        </w:rPr>
        <w:t xml:space="preserve">Dr. et patri. </w:t>
      </w:r>
      <w:r w:rsidRPr="008216A9">
        <w:t>Sept. 1997, p. 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07E"/>
    <w:multiLevelType w:val="hybridMultilevel"/>
    <w:tmpl w:val="28B02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E50F70"/>
    <w:multiLevelType w:val="hybridMultilevel"/>
    <w:tmpl w:val="26FE4B9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1B4440CD"/>
    <w:multiLevelType w:val="hybridMultilevel"/>
    <w:tmpl w:val="0F6CF1DA"/>
    <w:lvl w:ilvl="0" w:tplc="231C69C4">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4B5B27"/>
    <w:multiLevelType w:val="hybridMultilevel"/>
    <w:tmpl w:val="05D4CF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352185"/>
    <w:multiLevelType w:val="hybridMultilevel"/>
    <w:tmpl w:val="14F66612"/>
    <w:lvl w:ilvl="0" w:tplc="37B81774">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49615B"/>
    <w:multiLevelType w:val="hybridMultilevel"/>
    <w:tmpl w:val="28E408F0"/>
    <w:lvl w:ilvl="0" w:tplc="A00A161A">
      <w:start w:val="3"/>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2C2C3CF8"/>
    <w:multiLevelType w:val="hybridMultilevel"/>
    <w:tmpl w:val="CFEE7050"/>
    <w:lvl w:ilvl="0" w:tplc="C0C61178">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B35399"/>
    <w:multiLevelType w:val="multilevel"/>
    <w:tmpl w:val="C532BEFE"/>
    <w:lvl w:ilvl="0">
      <w:start w:val="1"/>
      <w:numFmt w:val="decimal"/>
      <w:pStyle w:val="CEDCACE-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4C236EB"/>
    <w:multiLevelType w:val="hybridMultilevel"/>
    <w:tmpl w:val="05C0E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2A4E5D"/>
    <w:multiLevelType w:val="hybridMultilevel"/>
    <w:tmpl w:val="C66214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D8758C"/>
    <w:multiLevelType w:val="hybridMultilevel"/>
    <w:tmpl w:val="5AF4A21E"/>
    <w:lvl w:ilvl="0" w:tplc="43267E8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9A6A60"/>
    <w:multiLevelType w:val="hybridMultilevel"/>
    <w:tmpl w:val="DA28E630"/>
    <w:lvl w:ilvl="0" w:tplc="040C0017">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455EB5"/>
    <w:multiLevelType w:val="hybridMultilevel"/>
    <w:tmpl w:val="069E2196"/>
    <w:lvl w:ilvl="0" w:tplc="9AFA1788">
      <w:start w:val="3"/>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A277AF"/>
    <w:multiLevelType w:val="hybridMultilevel"/>
    <w:tmpl w:val="3BAEDC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CE920F0"/>
    <w:multiLevelType w:val="hybridMultilevel"/>
    <w:tmpl w:val="FFCA724A"/>
    <w:lvl w:ilvl="0" w:tplc="D57460C0">
      <w:start w:val="2"/>
      <w:numFmt w:val="decimal"/>
      <w:lvlText w:val="%1)"/>
      <w:lvlJc w:val="left"/>
      <w:pPr>
        <w:ind w:left="927" w:hanging="360"/>
      </w:pPr>
      <w:rPr>
        <w:rFonts w:hint="default"/>
        <w:b/>
        <w:u w:val="singl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69B64094"/>
    <w:multiLevelType w:val="hybridMultilevel"/>
    <w:tmpl w:val="BD2E3B1E"/>
    <w:lvl w:ilvl="0" w:tplc="3D0A2D00">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7492506C"/>
    <w:multiLevelType w:val="hybridMultilevel"/>
    <w:tmpl w:val="042A0E98"/>
    <w:lvl w:ilvl="0" w:tplc="F83002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FF77AF"/>
    <w:multiLevelType w:val="hybridMultilevel"/>
    <w:tmpl w:val="208AD486"/>
    <w:lvl w:ilvl="0" w:tplc="C0C61178">
      <w:start w:val="1"/>
      <w:numFmt w:val="decimal"/>
      <w:lvlText w:val="%1."/>
      <w:lvlJc w:val="left"/>
      <w:pPr>
        <w:tabs>
          <w:tab w:val="num" w:pos="1134"/>
        </w:tabs>
        <w:ind w:left="0" w:firstLine="567"/>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25455774">
    <w:abstractNumId w:val="4"/>
  </w:num>
  <w:num w:numId="2" w16cid:durableId="104661507">
    <w:abstractNumId w:val="12"/>
  </w:num>
  <w:num w:numId="3" w16cid:durableId="608856875">
    <w:abstractNumId w:val="2"/>
  </w:num>
  <w:num w:numId="4" w16cid:durableId="987056436">
    <w:abstractNumId w:val="0"/>
  </w:num>
  <w:num w:numId="5" w16cid:durableId="243806892">
    <w:abstractNumId w:val="8"/>
  </w:num>
  <w:num w:numId="6" w16cid:durableId="1020203465">
    <w:abstractNumId w:val="16"/>
  </w:num>
  <w:num w:numId="7" w16cid:durableId="973145254">
    <w:abstractNumId w:val="3"/>
  </w:num>
  <w:num w:numId="8" w16cid:durableId="19740495">
    <w:abstractNumId w:val="10"/>
  </w:num>
  <w:num w:numId="9" w16cid:durableId="331101464">
    <w:abstractNumId w:val="13"/>
  </w:num>
  <w:num w:numId="10" w16cid:durableId="180825109">
    <w:abstractNumId w:val="11"/>
  </w:num>
  <w:num w:numId="11" w16cid:durableId="1672752397">
    <w:abstractNumId w:val="1"/>
  </w:num>
  <w:num w:numId="12" w16cid:durableId="1155802607">
    <w:abstractNumId w:val="17"/>
  </w:num>
  <w:num w:numId="13" w16cid:durableId="427239763">
    <w:abstractNumId w:val="15"/>
  </w:num>
  <w:num w:numId="14" w16cid:durableId="1354333655">
    <w:abstractNumId w:val="14"/>
  </w:num>
  <w:num w:numId="15" w16cid:durableId="1065184272">
    <w:abstractNumId w:val="9"/>
  </w:num>
  <w:num w:numId="16" w16cid:durableId="1825049945">
    <w:abstractNumId w:val="5"/>
  </w:num>
  <w:num w:numId="17" w16cid:durableId="1259678578">
    <w:abstractNumId w:val="6"/>
  </w:num>
  <w:num w:numId="18" w16cid:durableId="1162239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72"/>
    <w:rsid w:val="00000BB4"/>
    <w:rsid w:val="00040001"/>
    <w:rsid w:val="00040FED"/>
    <w:rsid w:val="000424EC"/>
    <w:rsid w:val="000436BE"/>
    <w:rsid w:val="0004617B"/>
    <w:rsid w:val="00057AF5"/>
    <w:rsid w:val="00060A93"/>
    <w:rsid w:val="0007030E"/>
    <w:rsid w:val="00075EB7"/>
    <w:rsid w:val="00081D83"/>
    <w:rsid w:val="00093485"/>
    <w:rsid w:val="0009642F"/>
    <w:rsid w:val="000A217D"/>
    <w:rsid w:val="000B0C21"/>
    <w:rsid w:val="000C063D"/>
    <w:rsid w:val="000C08A0"/>
    <w:rsid w:val="000C16C7"/>
    <w:rsid w:val="000E2C17"/>
    <w:rsid w:val="000F4584"/>
    <w:rsid w:val="000F7472"/>
    <w:rsid w:val="00110A76"/>
    <w:rsid w:val="00116C56"/>
    <w:rsid w:val="00126175"/>
    <w:rsid w:val="001326E7"/>
    <w:rsid w:val="001327C5"/>
    <w:rsid w:val="00133AD1"/>
    <w:rsid w:val="00142185"/>
    <w:rsid w:val="001450A0"/>
    <w:rsid w:val="00161606"/>
    <w:rsid w:val="00166516"/>
    <w:rsid w:val="00170B08"/>
    <w:rsid w:val="00195F42"/>
    <w:rsid w:val="001A5A17"/>
    <w:rsid w:val="001A634A"/>
    <w:rsid w:val="001C1C4D"/>
    <w:rsid w:val="001C286F"/>
    <w:rsid w:val="001D246B"/>
    <w:rsid w:val="001E28C5"/>
    <w:rsid w:val="001F1768"/>
    <w:rsid w:val="001F1E46"/>
    <w:rsid w:val="001F7A53"/>
    <w:rsid w:val="00200288"/>
    <w:rsid w:val="00207E88"/>
    <w:rsid w:val="002131D1"/>
    <w:rsid w:val="00222CF4"/>
    <w:rsid w:val="00223168"/>
    <w:rsid w:val="002332BA"/>
    <w:rsid w:val="00235C90"/>
    <w:rsid w:val="0024357F"/>
    <w:rsid w:val="00247F4D"/>
    <w:rsid w:val="00277DF2"/>
    <w:rsid w:val="0028044F"/>
    <w:rsid w:val="00282001"/>
    <w:rsid w:val="00286AE7"/>
    <w:rsid w:val="002D511E"/>
    <w:rsid w:val="002E3D2B"/>
    <w:rsid w:val="002F0B71"/>
    <w:rsid w:val="002F1B8E"/>
    <w:rsid w:val="002F71FD"/>
    <w:rsid w:val="003015BB"/>
    <w:rsid w:val="00302B83"/>
    <w:rsid w:val="003207DC"/>
    <w:rsid w:val="00322F50"/>
    <w:rsid w:val="0032364A"/>
    <w:rsid w:val="00327A66"/>
    <w:rsid w:val="00337A7C"/>
    <w:rsid w:val="00345FCC"/>
    <w:rsid w:val="00356CE3"/>
    <w:rsid w:val="00363461"/>
    <w:rsid w:val="00375727"/>
    <w:rsid w:val="00390805"/>
    <w:rsid w:val="00396C42"/>
    <w:rsid w:val="003A1DFC"/>
    <w:rsid w:val="003B1095"/>
    <w:rsid w:val="003B34C6"/>
    <w:rsid w:val="003B43B9"/>
    <w:rsid w:val="003B446C"/>
    <w:rsid w:val="003C1D19"/>
    <w:rsid w:val="003C5AB6"/>
    <w:rsid w:val="003E3C89"/>
    <w:rsid w:val="003F345D"/>
    <w:rsid w:val="004161EC"/>
    <w:rsid w:val="00416DF9"/>
    <w:rsid w:val="004259A5"/>
    <w:rsid w:val="00425E38"/>
    <w:rsid w:val="00425EE3"/>
    <w:rsid w:val="00430042"/>
    <w:rsid w:val="0043285E"/>
    <w:rsid w:val="0044253D"/>
    <w:rsid w:val="00445C85"/>
    <w:rsid w:val="00445F2A"/>
    <w:rsid w:val="0046173E"/>
    <w:rsid w:val="00470548"/>
    <w:rsid w:val="00475B5D"/>
    <w:rsid w:val="00481829"/>
    <w:rsid w:val="00482BB4"/>
    <w:rsid w:val="00484EDE"/>
    <w:rsid w:val="0049099F"/>
    <w:rsid w:val="004961F9"/>
    <w:rsid w:val="004A4669"/>
    <w:rsid w:val="004F780B"/>
    <w:rsid w:val="00504E2F"/>
    <w:rsid w:val="0050602B"/>
    <w:rsid w:val="00511A66"/>
    <w:rsid w:val="00531599"/>
    <w:rsid w:val="0053442C"/>
    <w:rsid w:val="0055287C"/>
    <w:rsid w:val="005555DA"/>
    <w:rsid w:val="00567590"/>
    <w:rsid w:val="00571AD5"/>
    <w:rsid w:val="0057506D"/>
    <w:rsid w:val="0058550C"/>
    <w:rsid w:val="00585F3D"/>
    <w:rsid w:val="005869DD"/>
    <w:rsid w:val="00586E49"/>
    <w:rsid w:val="00587AB5"/>
    <w:rsid w:val="005A56C3"/>
    <w:rsid w:val="005C37B3"/>
    <w:rsid w:val="005F0A85"/>
    <w:rsid w:val="005F6E2D"/>
    <w:rsid w:val="00602650"/>
    <w:rsid w:val="00604C41"/>
    <w:rsid w:val="0061516C"/>
    <w:rsid w:val="00615340"/>
    <w:rsid w:val="00616E40"/>
    <w:rsid w:val="0062509F"/>
    <w:rsid w:val="006427A3"/>
    <w:rsid w:val="00662E96"/>
    <w:rsid w:val="00672041"/>
    <w:rsid w:val="0067267D"/>
    <w:rsid w:val="006A52F1"/>
    <w:rsid w:val="006B596F"/>
    <w:rsid w:val="006B6EB3"/>
    <w:rsid w:val="006C1B9D"/>
    <w:rsid w:val="006D1A0B"/>
    <w:rsid w:val="006D440C"/>
    <w:rsid w:val="006D55CD"/>
    <w:rsid w:val="006D6A6B"/>
    <w:rsid w:val="006E2243"/>
    <w:rsid w:val="006E2514"/>
    <w:rsid w:val="006E7795"/>
    <w:rsid w:val="006F738E"/>
    <w:rsid w:val="006F7D51"/>
    <w:rsid w:val="007052FE"/>
    <w:rsid w:val="00715EAF"/>
    <w:rsid w:val="00720F14"/>
    <w:rsid w:val="00731022"/>
    <w:rsid w:val="00737274"/>
    <w:rsid w:val="007403E9"/>
    <w:rsid w:val="00754F8A"/>
    <w:rsid w:val="00755A4A"/>
    <w:rsid w:val="007678BE"/>
    <w:rsid w:val="00776ECE"/>
    <w:rsid w:val="00783C6C"/>
    <w:rsid w:val="00787205"/>
    <w:rsid w:val="007918CA"/>
    <w:rsid w:val="007A151A"/>
    <w:rsid w:val="007A1BCC"/>
    <w:rsid w:val="007A59D0"/>
    <w:rsid w:val="007B009C"/>
    <w:rsid w:val="007B1138"/>
    <w:rsid w:val="007B3EC3"/>
    <w:rsid w:val="007B3FA8"/>
    <w:rsid w:val="007C174F"/>
    <w:rsid w:val="007F5771"/>
    <w:rsid w:val="007F61E2"/>
    <w:rsid w:val="00810098"/>
    <w:rsid w:val="00815132"/>
    <w:rsid w:val="0081791D"/>
    <w:rsid w:val="008216A9"/>
    <w:rsid w:val="00825861"/>
    <w:rsid w:val="0083055A"/>
    <w:rsid w:val="00837986"/>
    <w:rsid w:val="0084051F"/>
    <w:rsid w:val="008561D2"/>
    <w:rsid w:val="00884521"/>
    <w:rsid w:val="008935B3"/>
    <w:rsid w:val="008A39E1"/>
    <w:rsid w:val="008A6560"/>
    <w:rsid w:val="008B1D56"/>
    <w:rsid w:val="008C0BA9"/>
    <w:rsid w:val="008C3814"/>
    <w:rsid w:val="008D0C95"/>
    <w:rsid w:val="008D55B7"/>
    <w:rsid w:val="00905000"/>
    <w:rsid w:val="009106DA"/>
    <w:rsid w:val="00917235"/>
    <w:rsid w:val="00920F5B"/>
    <w:rsid w:val="00924299"/>
    <w:rsid w:val="0092539A"/>
    <w:rsid w:val="00930F49"/>
    <w:rsid w:val="009340E4"/>
    <w:rsid w:val="00941A78"/>
    <w:rsid w:val="00942F42"/>
    <w:rsid w:val="00944561"/>
    <w:rsid w:val="00945CFA"/>
    <w:rsid w:val="00950148"/>
    <w:rsid w:val="0095122D"/>
    <w:rsid w:val="00957935"/>
    <w:rsid w:val="00961042"/>
    <w:rsid w:val="009814BA"/>
    <w:rsid w:val="00985485"/>
    <w:rsid w:val="00995D74"/>
    <w:rsid w:val="00996DAD"/>
    <w:rsid w:val="009A403F"/>
    <w:rsid w:val="009D5321"/>
    <w:rsid w:val="009E7603"/>
    <w:rsid w:val="009F0FBB"/>
    <w:rsid w:val="009F525E"/>
    <w:rsid w:val="00A0060F"/>
    <w:rsid w:val="00A00FA9"/>
    <w:rsid w:val="00A02D40"/>
    <w:rsid w:val="00A05E42"/>
    <w:rsid w:val="00A16E7B"/>
    <w:rsid w:val="00A219F1"/>
    <w:rsid w:val="00A245E8"/>
    <w:rsid w:val="00A302F3"/>
    <w:rsid w:val="00A31491"/>
    <w:rsid w:val="00A31FB4"/>
    <w:rsid w:val="00A3385A"/>
    <w:rsid w:val="00A358CD"/>
    <w:rsid w:val="00A4415D"/>
    <w:rsid w:val="00A502AB"/>
    <w:rsid w:val="00A604EB"/>
    <w:rsid w:val="00A66702"/>
    <w:rsid w:val="00A67AD0"/>
    <w:rsid w:val="00A74579"/>
    <w:rsid w:val="00A77EDB"/>
    <w:rsid w:val="00A92D7A"/>
    <w:rsid w:val="00A93FD7"/>
    <w:rsid w:val="00A97CA9"/>
    <w:rsid w:val="00AA4FD2"/>
    <w:rsid w:val="00AB2D83"/>
    <w:rsid w:val="00AB56BC"/>
    <w:rsid w:val="00AD3051"/>
    <w:rsid w:val="00AD36C7"/>
    <w:rsid w:val="00AD7ACD"/>
    <w:rsid w:val="00AF2673"/>
    <w:rsid w:val="00AF6204"/>
    <w:rsid w:val="00AF6E32"/>
    <w:rsid w:val="00B401FA"/>
    <w:rsid w:val="00B40BCC"/>
    <w:rsid w:val="00B72839"/>
    <w:rsid w:val="00B80700"/>
    <w:rsid w:val="00B82230"/>
    <w:rsid w:val="00B83A95"/>
    <w:rsid w:val="00B92F4E"/>
    <w:rsid w:val="00B96BE5"/>
    <w:rsid w:val="00BB3A55"/>
    <w:rsid w:val="00BB709A"/>
    <w:rsid w:val="00BC05C2"/>
    <w:rsid w:val="00BE29B8"/>
    <w:rsid w:val="00BE6D0F"/>
    <w:rsid w:val="00C0796C"/>
    <w:rsid w:val="00C10433"/>
    <w:rsid w:val="00C13C16"/>
    <w:rsid w:val="00C13EB4"/>
    <w:rsid w:val="00C241DD"/>
    <w:rsid w:val="00C3723F"/>
    <w:rsid w:val="00C37E72"/>
    <w:rsid w:val="00C477A4"/>
    <w:rsid w:val="00C51D53"/>
    <w:rsid w:val="00C53519"/>
    <w:rsid w:val="00C56998"/>
    <w:rsid w:val="00C57FA6"/>
    <w:rsid w:val="00C615DF"/>
    <w:rsid w:val="00C649C2"/>
    <w:rsid w:val="00C77BF5"/>
    <w:rsid w:val="00C81811"/>
    <w:rsid w:val="00C9383C"/>
    <w:rsid w:val="00CA01C6"/>
    <w:rsid w:val="00CA40AB"/>
    <w:rsid w:val="00CA5EFE"/>
    <w:rsid w:val="00CB591C"/>
    <w:rsid w:val="00CC2A4C"/>
    <w:rsid w:val="00CD502B"/>
    <w:rsid w:val="00CD5935"/>
    <w:rsid w:val="00CD62EB"/>
    <w:rsid w:val="00CD69AE"/>
    <w:rsid w:val="00CF1154"/>
    <w:rsid w:val="00D057E8"/>
    <w:rsid w:val="00D1628D"/>
    <w:rsid w:val="00D175CA"/>
    <w:rsid w:val="00D2252B"/>
    <w:rsid w:val="00D231D5"/>
    <w:rsid w:val="00D27783"/>
    <w:rsid w:val="00D34D7C"/>
    <w:rsid w:val="00D533E3"/>
    <w:rsid w:val="00D5497E"/>
    <w:rsid w:val="00D57ADA"/>
    <w:rsid w:val="00D60C44"/>
    <w:rsid w:val="00D61E79"/>
    <w:rsid w:val="00D74CD6"/>
    <w:rsid w:val="00D85084"/>
    <w:rsid w:val="00D87C76"/>
    <w:rsid w:val="00D91889"/>
    <w:rsid w:val="00D93968"/>
    <w:rsid w:val="00D973C8"/>
    <w:rsid w:val="00DA5F84"/>
    <w:rsid w:val="00DB05B8"/>
    <w:rsid w:val="00DB38BA"/>
    <w:rsid w:val="00DC4895"/>
    <w:rsid w:val="00DD27F5"/>
    <w:rsid w:val="00DD3C8F"/>
    <w:rsid w:val="00DE2632"/>
    <w:rsid w:val="00DF437C"/>
    <w:rsid w:val="00E10361"/>
    <w:rsid w:val="00E10CF0"/>
    <w:rsid w:val="00E12197"/>
    <w:rsid w:val="00E5273A"/>
    <w:rsid w:val="00E52DEC"/>
    <w:rsid w:val="00E62B47"/>
    <w:rsid w:val="00E631FD"/>
    <w:rsid w:val="00E71B68"/>
    <w:rsid w:val="00E72F2E"/>
    <w:rsid w:val="00E902F1"/>
    <w:rsid w:val="00E92895"/>
    <w:rsid w:val="00E95DD8"/>
    <w:rsid w:val="00E96148"/>
    <w:rsid w:val="00EE0856"/>
    <w:rsid w:val="00EE2D2B"/>
    <w:rsid w:val="00EE6689"/>
    <w:rsid w:val="00EE6FF1"/>
    <w:rsid w:val="00EF706A"/>
    <w:rsid w:val="00F04178"/>
    <w:rsid w:val="00F048D9"/>
    <w:rsid w:val="00F11D5C"/>
    <w:rsid w:val="00F2196D"/>
    <w:rsid w:val="00F373F3"/>
    <w:rsid w:val="00F40A4C"/>
    <w:rsid w:val="00F43ED3"/>
    <w:rsid w:val="00F466F6"/>
    <w:rsid w:val="00F63ED1"/>
    <w:rsid w:val="00F715B2"/>
    <w:rsid w:val="00F7744C"/>
    <w:rsid w:val="00F83623"/>
    <w:rsid w:val="00F838EA"/>
    <w:rsid w:val="00F8540C"/>
    <w:rsid w:val="00F9423A"/>
    <w:rsid w:val="00FA162A"/>
    <w:rsid w:val="00FA5053"/>
    <w:rsid w:val="00FA76FA"/>
    <w:rsid w:val="00FB2849"/>
    <w:rsid w:val="00FC0D9C"/>
    <w:rsid w:val="00FC22B7"/>
    <w:rsid w:val="00FC7E10"/>
    <w:rsid w:val="00FD145C"/>
    <w:rsid w:val="00FE066F"/>
    <w:rsid w:val="00FE0BE0"/>
    <w:rsid w:val="00FE293D"/>
    <w:rsid w:val="00FE3768"/>
    <w:rsid w:val="00FF1E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46CC"/>
  <w15:chartTrackingRefBased/>
  <w15:docId w15:val="{28B54CE3-9021-419F-9023-B7233E5E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1D53"/>
    <w:pPr>
      <w:ind w:left="720"/>
      <w:contextualSpacing/>
    </w:pPr>
  </w:style>
  <w:style w:type="character" w:styleId="Marquedecommentaire">
    <w:name w:val="annotation reference"/>
    <w:basedOn w:val="Policepardfaut"/>
    <w:uiPriority w:val="99"/>
    <w:semiHidden/>
    <w:unhideWhenUsed/>
    <w:rsid w:val="00A502AB"/>
    <w:rPr>
      <w:sz w:val="16"/>
      <w:szCs w:val="16"/>
    </w:rPr>
  </w:style>
  <w:style w:type="paragraph" w:styleId="Commentaire">
    <w:name w:val="annotation text"/>
    <w:basedOn w:val="Normal"/>
    <w:link w:val="CommentaireCar"/>
    <w:uiPriority w:val="99"/>
    <w:unhideWhenUsed/>
    <w:rsid w:val="00A502AB"/>
    <w:pPr>
      <w:spacing w:line="240" w:lineRule="auto"/>
    </w:pPr>
    <w:rPr>
      <w:sz w:val="20"/>
      <w:szCs w:val="20"/>
    </w:rPr>
  </w:style>
  <w:style w:type="character" w:customStyle="1" w:styleId="CommentaireCar">
    <w:name w:val="Commentaire Car"/>
    <w:basedOn w:val="Policepardfaut"/>
    <w:link w:val="Commentaire"/>
    <w:uiPriority w:val="99"/>
    <w:rsid w:val="00A502AB"/>
    <w:rPr>
      <w:sz w:val="20"/>
      <w:szCs w:val="20"/>
    </w:rPr>
  </w:style>
  <w:style w:type="paragraph" w:styleId="Objetducommentaire">
    <w:name w:val="annotation subject"/>
    <w:basedOn w:val="Commentaire"/>
    <w:next w:val="Commentaire"/>
    <w:link w:val="ObjetducommentaireCar"/>
    <w:uiPriority w:val="99"/>
    <w:semiHidden/>
    <w:unhideWhenUsed/>
    <w:rsid w:val="00A502AB"/>
    <w:rPr>
      <w:b/>
      <w:bCs/>
    </w:rPr>
  </w:style>
  <w:style w:type="character" w:customStyle="1" w:styleId="ObjetducommentaireCar">
    <w:name w:val="Objet du commentaire Car"/>
    <w:basedOn w:val="CommentaireCar"/>
    <w:link w:val="Objetducommentaire"/>
    <w:uiPriority w:val="99"/>
    <w:semiHidden/>
    <w:rsid w:val="00A502AB"/>
    <w:rPr>
      <w:b/>
      <w:bCs/>
      <w:sz w:val="20"/>
      <w:szCs w:val="20"/>
    </w:rPr>
  </w:style>
  <w:style w:type="paragraph" w:styleId="Notedebasdepage">
    <w:name w:val="footnote text"/>
    <w:basedOn w:val="Normal"/>
    <w:link w:val="NotedebasdepageCar"/>
    <w:uiPriority w:val="99"/>
    <w:semiHidden/>
    <w:unhideWhenUsed/>
    <w:rsid w:val="0082586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5861"/>
    <w:rPr>
      <w:sz w:val="20"/>
      <w:szCs w:val="20"/>
    </w:rPr>
  </w:style>
  <w:style w:type="character" w:styleId="Appelnotedebasdep">
    <w:name w:val="footnote reference"/>
    <w:basedOn w:val="Policepardfaut"/>
    <w:uiPriority w:val="99"/>
    <w:semiHidden/>
    <w:unhideWhenUsed/>
    <w:rsid w:val="00825861"/>
    <w:rPr>
      <w:vertAlign w:val="superscript"/>
    </w:rPr>
  </w:style>
  <w:style w:type="paragraph" w:styleId="En-tte">
    <w:name w:val="header"/>
    <w:basedOn w:val="Normal"/>
    <w:link w:val="En-tteCar"/>
    <w:uiPriority w:val="99"/>
    <w:unhideWhenUsed/>
    <w:rsid w:val="00277DF2"/>
    <w:pPr>
      <w:tabs>
        <w:tab w:val="center" w:pos="4536"/>
        <w:tab w:val="right" w:pos="9072"/>
      </w:tabs>
      <w:spacing w:after="0" w:line="240" w:lineRule="auto"/>
    </w:pPr>
  </w:style>
  <w:style w:type="character" w:customStyle="1" w:styleId="En-tteCar">
    <w:name w:val="En-tête Car"/>
    <w:basedOn w:val="Policepardfaut"/>
    <w:link w:val="En-tte"/>
    <w:uiPriority w:val="99"/>
    <w:rsid w:val="00277DF2"/>
  </w:style>
  <w:style w:type="paragraph" w:styleId="Pieddepage">
    <w:name w:val="footer"/>
    <w:basedOn w:val="Normal"/>
    <w:link w:val="PieddepageCar"/>
    <w:uiPriority w:val="99"/>
    <w:unhideWhenUsed/>
    <w:rsid w:val="00277D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7DF2"/>
  </w:style>
  <w:style w:type="paragraph" w:customStyle="1" w:styleId="pf0">
    <w:name w:val="pf0"/>
    <w:basedOn w:val="Normal"/>
    <w:rsid w:val="00996DA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cf01">
    <w:name w:val="cf01"/>
    <w:basedOn w:val="Policepardfaut"/>
    <w:rsid w:val="00996DAD"/>
    <w:rPr>
      <w:rFonts w:ascii="Segoe UI" w:hAnsi="Segoe UI" w:cs="Segoe UI" w:hint="default"/>
      <w:sz w:val="18"/>
      <w:szCs w:val="18"/>
    </w:rPr>
  </w:style>
  <w:style w:type="paragraph" w:styleId="NormalWeb">
    <w:name w:val="Normal (Web)"/>
    <w:basedOn w:val="Normal"/>
    <w:uiPriority w:val="99"/>
    <w:semiHidden/>
    <w:unhideWhenUsed/>
    <w:rsid w:val="00356CE3"/>
    <w:rPr>
      <w:rFonts w:ascii="Times New Roman" w:hAnsi="Times New Roman" w:cs="Times New Roman"/>
      <w:sz w:val="24"/>
      <w:szCs w:val="24"/>
    </w:rPr>
  </w:style>
  <w:style w:type="paragraph" w:customStyle="1" w:styleId="CEDACE-A">
    <w:name w:val="CEDACE - A"/>
    <w:basedOn w:val="Normal"/>
    <w:next w:val="Normal"/>
    <w:link w:val="CEDACE-ACar"/>
    <w:autoRedefine/>
    <w:uiPriority w:val="48"/>
    <w:qFormat/>
    <w:rsid w:val="00F63ED1"/>
    <w:pPr>
      <w:spacing w:before="360" w:after="240" w:line="240" w:lineRule="auto"/>
      <w:ind w:left="1417" w:hanging="425"/>
    </w:pPr>
    <w:rPr>
      <w:rFonts w:ascii="Helvetica" w:eastAsia="Times New Roman" w:hAnsi="Helvetica" w:cs="Times New Roman"/>
      <w:b/>
      <w:kern w:val="0"/>
      <w:szCs w:val="24"/>
      <w:lang w:eastAsia="fr-FR"/>
      <w14:ligatures w14:val="none"/>
    </w:rPr>
  </w:style>
  <w:style w:type="character" w:customStyle="1" w:styleId="CEDACE-ACar">
    <w:name w:val="CEDACE - A Car"/>
    <w:basedOn w:val="Policepardfaut"/>
    <w:link w:val="CEDACE-A"/>
    <w:uiPriority w:val="48"/>
    <w:rsid w:val="00F63ED1"/>
    <w:rPr>
      <w:rFonts w:ascii="Helvetica" w:eastAsia="Times New Roman" w:hAnsi="Helvetica" w:cs="Times New Roman"/>
      <w:b/>
      <w:kern w:val="0"/>
      <w:szCs w:val="24"/>
      <w:lang w:eastAsia="fr-FR"/>
      <w14:ligatures w14:val="none"/>
    </w:rPr>
  </w:style>
  <w:style w:type="paragraph" w:customStyle="1" w:styleId="CEDCACE-corpsdetexte">
    <w:name w:val="CEDCACE - corps de texte"/>
    <w:link w:val="CEDCACE-corpsdetexteCar"/>
    <w:autoRedefine/>
    <w:uiPriority w:val="48"/>
    <w:qFormat/>
    <w:rsid w:val="00F63ED1"/>
    <w:pPr>
      <w:spacing w:before="120" w:after="200" w:line="240" w:lineRule="auto"/>
      <w:jc w:val="both"/>
    </w:pPr>
    <w:rPr>
      <w:rFonts w:ascii="Garamond" w:eastAsia="MS Mincho" w:hAnsi="Garamond" w:cs="Times New Roman"/>
      <w:bCs/>
      <w:kern w:val="0"/>
      <w:sz w:val="24"/>
      <w:szCs w:val="24"/>
      <w14:ligatures w14:val="none"/>
    </w:rPr>
  </w:style>
  <w:style w:type="character" w:customStyle="1" w:styleId="CEDCACE-corpsdetexteCar">
    <w:name w:val="CEDCACE - corps de texte Car"/>
    <w:basedOn w:val="Policepardfaut"/>
    <w:link w:val="CEDCACE-corpsdetexte"/>
    <w:uiPriority w:val="48"/>
    <w:rsid w:val="00F63ED1"/>
    <w:rPr>
      <w:rFonts w:ascii="Garamond" w:eastAsia="MS Mincho" w:hAnsi="Garamond" w:cs="Times New Roman"/>
      <w:bCs/>
      <w:kern w:val="0"/>
      <w:sz w:val="24"/>
      <w:szCs w:val="24"/>
      <w14:ligatures w14:val="none"/>
    </w:rPr>
  </w:style>
  <w:style w:type="paragraph" w:customStyle="1" w:styleId="CEDCACE-1">
    <w:name w:val="CEDCACE - 1°"/>
    <w:basedOn w:val="CEDCACE-corpsdetexte"/>
    <w:next w:val="CEDCACE-corpsdetexte"/>
    <w:link w:val="CEDCACE-1Car"/>
    <w:autoRedefine/>
    <w:uiPriority w:val="48"/>
    <w:qFormat/>
    <w:rsid w:val="00F63ED1"/>
  </w:style>
  <w:style w:type="character" w:customStyle="1" w:styleId="CEDCACE-1Car">
    <w:name w:val="CEDCACE - 1° Car"/>
    <w:basedOn w:val="CEDCACE-corpsdetexteCar"/>
    <w:link w:val="CEDCACE-1"/>
    <w:uiPriority w:val="48"/>
    <w:rsid w:val="00F63ED1"/>
    <w:rPr>
      <w:rFonts w:ascii="Garamond" w:eastAsia="MS Mincho" w:hAnsi="Garamond" w:cs="Times New Roman"/>
      <w:bCs/>
      <w:kern w:val="0"/>
      <w:sz w:val="24"/>
      <w:szCs w:val="24"/>
      <w14:ligatures w14:val="none"/>
    </w:rPr>
  </w:style>
  <w:style w:type="paragraph" w:customStyle="1" w:styleId="CEDCACE-I">
    <w:name w:val="CEDCACE - I"/>
    <w:basedOn w:val="Normal"/>
    <w:next w:val="CEDCACE-corpsdetexte"/>
    <w:link w:val="CEDCACE-ICar"/>
    <w:autoRedefine/>
    <w:uiPriority w:val="48"/>
    <w:qFormat/>
    <w:rsid w:val="00F63ED1"/>
    <w:pPr>
      <w:numPr>
        <w:numId w:val="18"/>
      </w:numPr>
      <w:spacing w:before="480" w:after="360" w:line="240" w:lineRule="auto"/>
      <w:jc w:val="both"/>
    </w:pPr>
    <w:rPr>
      <w:rFonts w:ascii="Helvetica" w:eastAsia="MS Mincho" w:hAnsi="Helvetica" w:cs="Times New Roman"/>
      <w:b/>
      <w:kern w:val="0"/>
      <w:szCs w:val="24"/>
      <w:lang w:eastAsia="fr-FR"/>
      <w14:ligatures w14:val="none"/>
    </w:rPr>
  </w:style>
  <w:style w:type="character" w:customStyle="1" w:styleId="CEDCACE-ICar">
    <w:name w:val="CEDCACE - I Car"/>
    <w:basedOn w:val="Policepardfaut"/>
    <w:link w:val="CEDCACE-I"/>
    <w:uiPriority w:val="48"/>
    <w:rsid w:val="00F63ED1"/>
    <w:rPr>
      <w:rFonts w:ascii="Helvetica" w:eastAsia="MS Mincho" w:hAnsi="Helvetica" w:cs="Times New Roman"/>
      <w:b/>
      <w:kern w:val="0"/>
      <w:szCs w:val="24"/>
      <w:lang w:eastAsia="fr-FR"/>
      <w14:ligatures w14:val="none"/>
    </w:rPr>
  </w:style>
  <w:style w:type="paragraph" w:customStyle="1" w:styleId="CEDCACE-notesbasdepage">
    <w:name w:val="CEDCACE - notes bas de page"/>
    <w:link w:val="CEDCACE-notesbasdepageCar"/>
    <w:autoRedefine/>
    <w:uiPriority w:val="48"/>
    <w:qFormat/>
    <w:rsid w:val="00F63ED1"/>
    <w:pPr>
      <w:spacing w:after="200" w:line="276" w:lineRule="auto"/>
    </w:pPr>
    <w:rPr>
      <w:rFonts w:ascii="Garamond" w:eastAsia="MS Mincho" w:hAnsi="Garamond" w:cs="Times New Roman"/>
      <w:kern w:val="0"/>
      <w:sz w:val="20"/>
      <w:szCs w:val="24"/>
      <w14:ligatures w14:val="none"/>
    </w:rPr>
  </w:style>
  <w:style w:type="character" w:customStyle="1" w:styleId="CEDCACE-notesbasdepageCar">
    <w:name w:val="CEDCACE - notes bas de page Car"/>
    <w:basedOn w:val="Policepardfaut"/>
    <w:link w:val="CEDCACE-notesbasdepage"/>
    <w:uiPriority w:val="48"/>
    <w:rsid w:val="00F63ED1"/>
    <w:rPr>
      <w:rFonts w:ascii="Garamond" w:eastAsia="MS Mincho" w:hAnsi="Garamond" w:cs="Times New Roman"/>
      <w:kern w:val="0"/>
      <w:sz w:val="20"/>
      <w:szCs w:val="24"/>
      <w14:ligatures w14:val="none"/>
    </w:rPr>
  </w:style>
  <w:style w:type="paragraph" w:customStyle="1" w:styleId="CEDCACEAUTEURetQUALITE">
    <w:name w:val="CEDCACE AUTEUR et QUALITE"/>
    <w:basedOn w:val="Normal"/>
    <w:next w:val="CEDCACE-corpsdetexte"/>
    <w:link w:val="CEDCACEAUTEURetQUALITECar"/>
    <w:uiPriority w:val="48"/>
    <w:qFormat/>
    <w:rsid w:val="00F63ED1"/>
    <w:pPr>
      <w:spacing w:after="0" w:line="240" w:lineRule="auto"/>
      <w:jc w:val="center"/>
    </w:pPr>
    <w:rPr>
      <w:rFonts w:ascii="Garamond" w:eastAsia="MS Mincho" w:hAnsi="Garamond" w:cs="Times New Roman"/>
      <w:b/>
      <w:kern w:val="0"/>
      <w:sz w:val="24"/>
      <w:szCs w:val="24"/>
      <w14:ligatures w14:val="none"/>
    </w:rPr>
  </w:style>
  <w:style w:type="character" w:customStyle="1" w:styleId="CEDCACEAUTEURetQUALITECar">
    <w:name w:val="CEDCACE AUTEUR et QUALITE Car"/>
    <w:basedOn w:val="Policepardfaut"/>
    <w:link w:val="CEDCACEAUTEURetQUALITE"/>
    <w:uiPriority w:val="48"/>
    <w:rsid w:val="00F63ED1"/>
    <w:rPr>
      <w:rFonts w:ascii="Garamond" w:eastAsia="MS Mincho" w:hAnsi="Garamond" w:cs="Times New Roman"/>
      <w:b/>
      <w:kern w:val="0"/>
      <w:sz w:val="24"/>
      <w:szCs w:val="24"/>
      <w14:ligatures w14:val="none"/>
    </w:rPr>
  </w:style>
  <w:style w:type="paragraph" w:customStyle="1" w:styleId="CEDCACETITREARTICLE">
    <w:name w:val="CEDCACE TITRE ARTICLE"/>
    <w:basedOn w:val="Normal"/>
    <w:next w:val="CEDCACE-corpsdetexte"/>
    <w:link w:val="CEDCACETITREARTICLECar"/>
    <w:autoRedefine/>
    <w:uiPriority w:val="48"/>
    <w:qFormat/>
    <w:rsid w:val="00F63ED1"/>
    <w:pPr>
      <w:spacing w:after="0" w:line="240" w:lineRule="auto"/>
      <w:jc w:val="center"/>
    </w:pPr>
    <w:rPr>
      <w:rFonts w:ascii="Helvetica" w:eastAsia="MS Mincho" w:hAnsi="Helvetica" w:cs="Times New Roman"/>
      <w:b/>
      <w:kern w:val="0"/>
      <w:sz w:val="24"/>
      <w:szCs w:val="24"/>
      <w14:ligatures w14:val="none"/>
    </w:rPr>
  </w:style>
  <w:style w:type="character" w:customStyle="1" w:styleId="CEDCACETITREARTICLECar">
    <w:name w:val="CEDCACE TITRE ARTICLE Car"/>
    <w:basedOn w:val="Policepardfaut"/>
    <w:link w:val="CEDCACETITREARTICLE"/>
    <w:uiPriority w:val="48"/>
    <w:rsid w:val="00F63ED1"/>
    <w:rPr>
      <w:rFonts w:ascii="Helvetica" w:eastAsia="MS Mincho" w:hAnsi="Helvetica" w:cs="Times New Roman"/>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91907">
      <w:bodyDiv w:val="1"/>
      <w:marLeft w:val="0"/>
      <w:marRight w:val="0"/>
      <w:marTop w:val="0"/>
      <w:marBottom w:val="0"/>
      <w:divBdr>
        <w:top w:val="none" w:sz="0" w:space="0" w:color="auto"/>
        <w:left w:val="none" w:sz="0" w:space="0" w:color="auto"/>
        <w:bottom w:val="none" w:sz="0" w:space="0" w:color="auto"/>
        <w:right w:val="none" w:sz="0" w:space="0" w:color="auto"/>
      </w:divBdr>
    </w:div>
    <w:div w:id="602297500">
      <w:bodyDiv w:val="1"/>
      <w:marLeft w:val="0"/>
      <w:marRight w:val="0"/>
      <w:marTop w:val="0"/>
      <w:marBottom w:val="0"/>
      <w:divBdr>
        <w:top w:val="none" w:sz="0" w:space="0" w:color="auto"/>
        <w:left w:val="none" w:sz="0" w:space="0" w:color="auto"/>
        <w:bottom w:val="none" w:sz="0" w:space="0" w:color="auto"/>
        <w:right w:val="none" w:sz="0" w:space="0" w:color="auto"/>
      </w:divBdr>
    </w:div>
    <w:div w:id="1045373605">
      <w:bodyDiv w:val="1"/>
      <w:marLeft w:val="0"/>
      <w:marRight w:val="0"/>
      <w:marTop w:val="0"/>
      <w:marBottom w:val="0"/>
      <w:divBdr>
        <w:top w:val="none" w:sz="0" w:space="0" w:color="auto"/>
        <w:left w:val="none" w:sz="0" w:space="0" w:color="auto"/>
        <w:bottom w:val="none" w:sz="0" w:space="0" w:color="auto"/>
        <w:right w:val="none" w:sz="0" w:space="0" w:color="auto"/>
      </w:divBdr>
    </w:div>
    <w:div w:id="1616213264">
      <w:bodyDiv w:val="1"/>
      <w:marLeft w:val="0"/>
      <w:marRight w:val="0"/>
      <w:marTop w:val="0"/>
      <w:marBottom w:val="0"/>
      <w:divBdr>
        <w:top w:val="none" w:sz="0" w:space="0" w:color="auto"/>
        <w:left w:val="none" w:sz="0" w:space="0" w:color="auto"/>
        <w:bottom w:val="none" w:sz="0" w:space="0" w:color="auto"/>
        <w:right w:val="none" w:sz="0" w:space="0" w:color="auto"/>
      </w:divBdr>
    </w:div>
    <w:div w:id="2021423402">
      <w:bodyDiv w:val="1"/>
      <w:marLeft w:val="0"/>
      <w:marRight w:val="0"/>
      <w:marTop w:val="0"/>
      <w:marBottom w:val="0"/>
      <w:divBdr>
        <w:top w:val="none" w:sz="0" w:space="0" w:color="auto"/>
        <w:left w:val="none" w:sz="0" w:space="0" w:color="auto"/>
        <w:bottom w:val="none" w:sz="0" w:space="0" w:color="auto"/>
        <w:right w:val="none" w:sz="0" w:space="0" w:color="auto"/>
      </w:divBdr>
    </w:div>
    <w:div w:id="212384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2189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Manuella Bourassin</dc:creator>
  <cp:keywords/>
  <dc:description/>
  <cp:lastModifiedBy>Chone grimaldi Anne-sophie</cp:lastModifiedBy>
  <cp:revision>3</cp:revision>
  <cp:lastPrinted>2024-02-05T08:38:00Z</cp:lastPrinted>
  <dcterms:created xsi:type="dcterms:W3CDTF">2024-02-05T08:38:00Z</dcterms:created>
  <dcterms:modified xsi:type="dcterms:W3CDTF">2024-02-05T08:38:00Z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2023-12-11T10:14:15Z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0c7b5dc9-e8ff-49f7-b881-7db967703767</vt:lpwstr>
  </property>
  <property fmtid="{D5CDD505-2E9C-101B-9397-08002B2CF9AE}" pid="7" name="MSIP_Label_defa4170-0d19-0005-0004-bc88714345d2_ActionId">
    <vt:lpwstr>a1b4d218-e57a-4d39-81ab-64cd02aa5c15</vt:lpwstr>
  </property>
  <property fmtid="{D5CDD505-2E9C-101B-9397-08002B2CF9AE}" pid="8" name="MSIP_Label_defa4170-0d19-0005-0004-bc88714345d2_ContentBits">
    <vt:lpwstr>0</vt:lpwstr>
  </property>
</Properties>
</file>